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1" w:rsidRDefault="00EF00E6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EF00E6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-833120</wp:posOffset>
            </wp:positionV>
            <wp:extent cx="7734300" cy="9953625"/>
            <wp:effectExtent l="0" t="0" r="0" b="9525"/>
            <wp:wrapNone/>
            <wp:docPr id="1" name="Imagen 1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FC" w:rsidRDefault="002940FC" w:rsidP="005D502A">
      <w:pPr>
        <w:ind w:firstLine="708"/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932071" w:rsidRDefault="00932071" w:rsidP="005D502A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 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2940FC" w:rsidRDefault="002940FC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EF00E6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6E8DAC7B" wp14:editId="4C1ED502">
            <wp:simplePos x="0" y="0"/>
            <wp:positionH relativeFrom="page">
              <wp:posOffset>9525</wp:posOffset>
            </wp:positionH>
            <wp:positionV relativeFrom="paragraph">
              <wp:posOffset>-975994</wp:posOffset>
            </wp:positionV>
            <wp:extent cx="7734300" cy="12611100"/>
            <wp:effectExtent l="0" t="0" r="0" b="0"/>
            <wp:wrapNone/>
            <wp:docPr id="2" name="Imagen 2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26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FC" w:rsidRDefault="002940FC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</w:t>
      </w:r>
    </w:p>
    <w:p w:rsidR="00932071" w:rsidRPr="002940FC" w:rsidRDefault="00932071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la adecuada y oportuna distribución de las mercancías, su correcto 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IX.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avalúos correspondientes;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>y</w:t>
      </w:r>
    </w:p>
    <w:p w:rsidR="003B02CF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sectPr w:rsidR="005D5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36" w:rsidRDefault="00657836" w:rsidP="00932071">
      <w:pPr>
        <w:spacing w:after="0" w:line="240" w:lineRule="auto"/>
      </w:pPr>
      <w:r>
        <w:separator/>
      </w:r>
    </w:p>
  </w:endnote>
  <w:endnote w:type="continuationSeparator" w:id="0">
    <w:p w:rsidR="00657836" w:rsidRDefault="00657836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36" w:rsidRDefault="00657836" w:rsidP="00932071">
      <w:pPr>
        <w:spacing w:after="0" w:line="240" w:lineRule="auto"/>
      </w:pPr>
      <w:r>
        <w:separator/>
      </w:r>
    </w:p>
  </w:footnote>
  <w:footnote w:type="continuationSeparator" w:id="0">
    <w:p w:rsidR="00657836" w:rsidRDefault="00657836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1"/>
    <w:rsid w:val="000F3A2A"/>
    <w:rsid w:val="002940FC"/>
    <w:rsid w:val="003B02CF"/>
    <w:rsid w:val="00586730"/>
    <w:rsid w:val="00595B02"/>
    <w:rsid w:val="005D502A"/>
    <w:rsid w:val="00657836"/>
    <w:rsid w:val="009222B6"/>
    <w:rsid w:val="00932071"/>
    <w:rsid w:val="00D151DC"/>
    <w:rsid w:val="00E4299F"/>
    <w:rsid w:val="00E85455"/>
    <w:rsid w:val="00EF00E6"/>
    <w:rsid w:val="00FF39CC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C5F42-68AC-47F9-AC45-9191A1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40EE-B4A7-4EC0-9589-11305065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ANDREA</cp:lastModifiedBy>
  <cp:revision>8</cp:revision>
  <dcterms:created xsi:type="dcterms:W3CDTF">2020-01-24T20:37:00Z</dcterms:created>
  <dcterms:modified xsi:type="dcterms:W3CDTF">2022-01-18T16:30:00Z</dcterms:modified>
</cp:coreProperties>
</file>